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883A9B" w:rsidP="0078487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Роскомнадзора по Республике Саха (Якутия)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</w:t>
      </w:r>
      <w:proofErr w:type="gramStart"/>
      <w:r w:rsidR="0026201C" w:rsidRPr="00AF283B">
        <w:rPr>
          <w:bCs/>
          <w:i/>
          <w:sz w:val="22"/>
          <w:szCs w:val="22"/>
        </w:rPr>
        <w:t>е(</w:t>
      </w:r>
      <w:proofErr w:type="gramEnd"/>
      <w:r w:rsidR="0026201C" w:rsidRPr="00AF283B">
        <w:rPr>
          <w:bCs/>
          <w:i/>
          <w:sz w:val="22"/>
          <w:szCs w:val="22"/>
        </w:rPr>
        <w:t>для российских юридических</w:t>
      </w:r>
      <w:bookmarkStart w:id="0" w:name="_GoBack"/>
      <w:bookmarkEnd w:id="0"/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lastRenderedPageBreak/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78487C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1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B574B"/>
    <w:rsid w:val="00123B02"/>
    <w:rsid w:val="0026201C"/>
    <w:rsid w:val="00562E09"/>
    <w:rsid w:val="0078487C"/>
    <w:rsid w:val="007F05A7"/>
    <w:rsid w:val="008325A3"/>
    <w:rsid w:val="00883A9B"/>
    <w:rsid w:val="008D1935"/>
    <w:rsid w:val="00966AB5"/>
    <w:rsid w:val="00A55170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Александр</cp:lastModifiedBy>
  <cp:revision>15</cp:revision>
  <cp:lastPrinted>2019-04-17T11:31:00Z</cp:lastPrinted>
  <dcterms:created xsi:type="dcterms:W3CDTF">2019-04-17T09:29:00Z</dcterms:created>
  <dcterms:modified xsi:type="dcterms:W3CDTF">2023-08-11T07:11:00Z</dcterms:modified>
</cp:coreProperties>
</file>